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Leksand kommunfullmäktige</w:t>
      </w:r>
    </w:p>
    <w:p>
      <w:pPr>
        <w:pStyle w:val="Heading1"/>
      </w:pPr>
      <w:r>
        <w:t xml:space="preserve">Tryggare skola mot mobbning och diskriminering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Leksand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visar oro bland unga. HBTQI och jämställdhet behöver stärkas i skolan. Trygg miljö är förutsättning för lärande.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Leksand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HBTQI-utbildning för all skolpersonal.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en trygghetssamordnare på kommunnivå.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årliga trygghetsenkäter i alla skolor.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åtgärder och resultat för fullmäktige.</w:t>
      </w:r>
    </w:p>
    <w:p>
      <w:pPr>
        <w:spacing w:before="360"/>
      </w:pPr>
    </w:p>
    <w:p>
      <w:r>
        <w:t xml:space="preserve">Leksand,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Leksand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2026-07-14T04:11:18.941Z</dcterms:created>
  <dcterms:modified xsi:type="dcterms:W3CDTF">2026-07-14T04:11:18.941Z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